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4F" w:rsidRDefault="009E1A4F">
      <w:pPr>
        <w:widowControl/>
        <w:autoSpaceDE w:val="0"/>
        <w:autoSpaceDN w:val="0"/>
        <w:snapToGrid/>
        <w:spacing w:before="0" w:after="120" w:line="240" w:lineRule="auto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9E1A4F" w:rsidRDefault="009E1A4F">
      <w:pPr>
        <w:widowControl/>
        <w:autoSpaceDE w:val="0"/>
        <w:autoSpaceDN w:val="0"/>
        <w:snapToGrid/>
        <w:spacing w:before="0" w:line="240" w:lineRule="auto"/>
        <w:jc w:val="right"/>
        <w:rPr>
          <w:szCs w:val="22"/>
        </w:rPr>
      </w:pPr>
      <w:r>
        <w:rPr>
          <w:szCs w:val="22"/>
        </w:rPr>
        <w:t>Форма 9д – 2</w:t>
      </w:r>
    </w:p>
    <w:p w:rsidR="009E1A4F" w:rsidRDefault="009E1A4F">
      <w:pPr>
        <w:widowControl/>
        <w:autoSpaceDE w:val="0"/>
        <w:autoSpaceDN w:val="0"/>
        <w:snapToGrid/>
        <w:spacing w:before="240" w:after="24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9E1A4F" w:rsidRDefault="009E1A4F">
      <w:pPr>
        <w:widowControl/>
        <w:autoSpaceDE w:val="0"/>
        <w:autoSpaceDN w:val="0"/>
        <w:snapToGrid/>
        <w:spacing w:before="0" w:line="240" w:lineRule="auto"/>
        <w:ind w:left="567" w:right="8335"/>
        <w:jc w:val="left"/>
        <w:rPr>
          <w:szCs w:val="22"/>
        </w:rPr>
      </w:pPr>
      <w:r>
        <w:rPr>
          <w:szCs w:val="22"/>
        </w:rPr>
        <w:t xml:space="preserve">предоставляемая  </w:t>
      </w:r>
      <w:r w:rsidR="00517631">
        <w:rPr>
          <w:szCs w:val="22"/>
        </w:rPr>
        <w:t>АО «Таймырская топливная компания»</w:t>
      </w:r>
    </w:p>
    <w:p w:rsidR="009E1A4F" w:rsidRDefault="009E1A4F">
      <w:pPr>
        <w:widowControl/>
        <w:pBdr>
          <w:top w:val="single" w:sz="4" w:space="1" w:color="auto"/>
        </w:pBdr>
        <w:autoSpaceDE w:val="0"/>
        <w:autoSpaceDN w:val="0"/>
        <w:snapToGrid/>
        <w:spacing w:before="0" w:line="240" w:lineRule="auto"/>
        <w:ind w:left="2268" w:right="8335"/>
        <w:jc w:val="left"/>
        <w:rPr>
          <w:sz w:val="2"/>
          <w:szCs w:val="2"/>
        </w:rPr>
      </w:pPr>
    </w:p>
    <w:p w:rsidR="009E1A4F" w:rsidRDefault="009E1A4F">
      <w:pPr>
        <w:widowControl/>
        <w:autoSpaceDE w:val="0"/>
        <w:autoSpaceDN w:val="0"/>
        <w:snapToGrid/>
        <w:spacing w:before="0" w:line="240" w:lineRule="auto"/>
        <w:ind w:left="567"/>
        <w:jc w:val="left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9E1A4F" w:rsidRDefault="009E1A4F">
      <w:pPr>
        <w:widowControl/>
        <w:autoSpaceDE w:val="0"/>
        <w:autoSpaceDN w:val="0"/>
        <w:snapToGrid/>
        <w:spacing w:before="0" w:line="240" w:lineRule="auto"/>
        <w:ind w:left="567" w:right="8335"/>
        <w:jc w:val="left"/>
        <w:rPr>
          <w:szCs w:val="22"/>
        </w:rPr>
      </w:pPr>
      <w:r>
        <w:rPr>
          <w:szCs w:val="22"/>
        </w:rPr>
        <w:t xml:space="preserve">на территории  </w:t>
      </w:r>
      <w:r w:rsidR="00517631">
        <w:rPr>
          <w:szCs w:val="22"/>
        </w:rPr>
        <w:t>Красноярского края</w:t>
      </w:r>
    </w:p>
    <w:p w:rsidR="009E1A4F" w:rsidRDefault="009E1A4F">
      <w:pPr>
        <w:widowControl/>
        <w:pBdr>
          <w:top w:val="single" w:sz="4" w:space="1" w:color="auto"/>
        </w:pBdr>
        <w:autoSpaceDE w:val="0"/>
        <w:autoSpaceDN w:val="0"/>
        <w:snapToGrid/>
        <w:spacing w:before="0" w:line="240" w:lineRule="auto"/>
        <w:ind w:left="2041" w:right="8335"/>
        <w:jc w:val="left"/>
        <w:rPr>
          <w:sz w:val="2"/>
          <w:szCs w:val="2"/>
        </w:rPr>
      </w:pPr>
    </w:p>
    <w:p w:rsidR="009E1A4F" w:rsidRDefault="009E1A4F">
      <w:pPr>
        <w:widowControl/>
        <w:autoSpaceDE w:val="0"/>
        <w:autoSpaceDN w:val="0"/>
        <w:snapToGrid/>
        <w:spacing w:before="0" w:line="240" w:lineRule="auto"/>
        <w:ind w:left="567"/>
        <w:jc w:val="left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9E1A4F" w:rsidRDefault="009E1A4F">
      <w:pPr>
        <w:widowControl/>
        <w:autoSpaceDE w:val="0"/>
        <w:autoSpaceDN w:val="0"/>
        <w:snapToGrid/>
        <w:spacing w:before="0" w:line="240" w:lineRule="auto"/>
        <w:ind w:left="567" w:right="8335"/>
        <w:jc w:val="left"/>
        <w:rPr>
          <w:szCs w:val="22"/>
        </w:rPr>
      </w:pPr>
      <w:r>
        <w:rPr>
          <w:szCs w:val="22"/>
        </w:rPr>
        <w:t xml:space="preserve">за период  </w:t>
      </w:r>
      <w:r w:rsidR="00392F47" w:rsidRPr="00392F47">
        <w:rPr>
          <w:szCs w:val="22"/>
        </w:rPr>
        <w:t>2018 год</w:t>
      </w:r>
    </w:p>
    <w:p w:rsidR="009E1A4F" w:rsidRDefault="009E1A4F">
      <w:pPr>
        <w:widowControl/>
        <w:pBdr>
          <w:top w:val="single" w:sz="4" w:space="1" w:color="auto"/>
        </w:pBdr>
        <w:autoSpaceDE w:val="0"/>
        <w:autoSpaceDN w:val="0"/>
        <w:snapToGrid/>
        <w:spacing w:before="0" w:line="240" w:lineRule="auto"/>
        <w:ind w:left="1588" w:right="8335"/>
        <w:jc w:val="left"/>
        <w:rPr>
          <w:sz w:val="2"/>
          <w:szCs w:val="2"/>
        </w:rPr>
      </w:pPr>
    </w:p>
    <w:p w:rsidR="009E1A4F" w:rsidRPr="00517631" w:rsidRDefault="009E1A4F">
      <w:pPr>
        <w:widowControl/>
        <w:autoSpaceDE w:val="0"/>
        <w:autoSpaceDN w:val="0"/>
        <w:snapToGrid/>
        <w:spacing w:before="0" w:line="240" w:lineRule="auto"/>
        <w:ind w:left="567" w:right="8335"/>
        <w:jc w:val="left"/>
        <w:rPr>
          <w:sz w:val="20"/>
        </w:rPr>
      </w:pPr>
      <w:r>
        <w:rPr>
          <w:szCs w:val="22"/>
        </w:rPr>
        <w:t xml:space="preserve">сведения о юридическом лице:  </w:t>
      </w:r>
      <w:r w:rsidR="00517631" w:rsidRPr="00517631">
        <w:rPr>
          <w:sz w:val="20"/>
        </w:rPr>
        <w:t>АО «Таймырская топливная компания»</w:t>
      </w:r>
    </w:p>
    <w:p w:rsidR="009E1A4F" w:rsidRDefault="009E1A4F">
      <w:pPr>
        <w:widowControl/>
        <w:pBdr>
          <w:top w:val="single" w:sz="4" w:space="1" w:color="auto"/>
        </w:pBdr>
        <w:autoSpaceDE w:val="0"/>
        <w:autoSpaceDN w:val="0"/>
        <w:snapToGrid/>
        <w:spacing w:before="0" w:line="240" w:lineRule="auto"/>
        <w:ind w:left="3589" w:right="8335"/>
        <w:jc w:val="left"/>
        <w:rPr>
          <w:sz w:val="2"/>
          <w:szCs w:val="2"/>
        </w:rPr>
      </w:pPr>
    </w:p>
    <w:p w:rsidR="009E1A4F" w:rsidRDefault="00517631">
      <w:pPr>
        <w:widowControl/>
        <w:autoSpaceDE w:val="0"/>
        <w:autoSpaceDN w:val="0"/>
        <w:snapToGrid/>
        <w:spacing w:before="0" w:line="240" w:lineRule="auto"/>
        <w:ind w:left="567" w:right="8335"/>
        <w:jc w:val="left"/>
        <w:rPr>
          <w:szCs w:val="22"/>
        </w:rPr>
      </w:pPr>
      <w:r w:rsidRPr="00517631">
        <w:rPr>
          <w:szCs w:val="22"/>
        </w:rPr>
        <w:t>г. Кр</w:t>
      </w:r>
      <w:r>
        <w:rPr>
          <w:szCs w:val="22"/>
        </w:rPr>
        <w:t>асноярск, ул. Бограда, 15 Ген. д</w:t>
      </w:r>
      <w:r w:rsidR="00557878">
        <w:rPr>
          <w:szCs w:val="22"/>
        </w:rPr>
        <w:t>иректор Шульга В</w:t>
      </w:r>
      <w:r w:rsidRPr="00517631">
        <w:rPr>
          <w:szCs w:val="22"/>
        </w:rPr>
        <w:t>.В. Тел: (391) 2527190</w:t>
      </w:r>
    </w:p>
    <w:p w:rsidR="009E1A4F" w:rsidRDefault="009E1A4F">
      <w:pPr>
        <w:widowControl/>
        <w:pBdr>
          <w:top w:val="single" w:sz="4" w:space="1" w:color="auto"/>
        </w:pBdr>
        <w:autoSpaceDE w:val="0"/>
        <w:autoSpaceDN w:val="0"/>
        <w:snapToGrid/>
        <w:spacing w:before="0" w:line="240" w:lineRule="auto"/>
        <w:ind w:left="567" w:right="8335"/>
        <w:jc w:val="left"/>
        <w:rPr>
          <w:sz w:val="2"/>
          <w:szCs w:val="2"/>
        </w:rPr>
      </w:pPr>
    </w:p>
    <w:p w:rsidR="009E1A4F" w:rsidRDefault="009E1A4F">
      <w:pPr>
        <w:widowControl/>
        <w:autoSpaceDE w:val="0"/>
        <w:autoSpaceDN w:val="0"/>
        <w:snapToGrid/>
        <w:spacing w:before="0" w:after="180" w:line="240" w:lineRule="auto"/>
        <w:ind w:left="567"/>
        <w:jc w:val="left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2059"/>
        <w:gridCol w:w="1732"/>
        <w:gridCol w:w="1891"/>
        <w:gridCol w:w="1799"/>
        <w:gridCol w:w="1801"/>
      </w:tblGrid>
      <w:tr w:rsidR="009E1A4F" w:rsidTr="005176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vMerge w:val="restart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059" w:type="dxa"/>
            <w:vMerge w:val="restart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7223" w:type="dxa"/>
            <w:gridSpan w:val="4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9E1A4F" w:rsidTr="005176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vMerge/>
            <w:vAlign w:val="bottom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59" w:type="dxa"/>
            <w:vMerge/>
            <w:vAlign w:val="bottom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1891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1799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1801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9E1A4F" w:rsidTr="005176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9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32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91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99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1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E1A4F" w:rsidTr="005176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</w:tcPr>
          <w:p w:rsidR="009E1A4F" w:rsidRDefault="009E1A4F">
            <w:pPr>
              <w:widowControl/>
              <w:autoSpaceDE w:val="0"/>
              <w:autoSpaceDN w:val="0"/>
              <w:snapToGrid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59" w:type="dxa"/>
          </w:tcPr>
          <w:p w:rsidR="009E1A4F" w:rsidRDefault="00517631">
            <w:pPr>
              <w:widowControl/>
              <w:autoSpaceDE w:val="0"/>
              <w:autoSpaceDN w:val="0"/>
              <w:snapToGrid/>
              <w:spacing w:before="0" w:line="240" w:lineRule="auto"/>
              <w:jc w:val="left"/>
              <w:rPr>
                <w:sz w:val="18"/>
                <w:szCs w:val="18"/>
              </w:rPr>
            </w:pPr>
            <w:r w:rsidRPr="00517631">
              <w:rPr>
                <w:sz w:val="18"/>
                <w:szCs w:val="18"/>
              </w:rPr>
              <w:t>услуги по погрузке и выгрузке нефтепродуктов</w:t>
            </w:r>
          </w:p>
        </w:tc>
        <w:tc>
          <w:tcPr>
            <w:tcW w:w="1732" w:type="dxa"/>
          </w:tcPr>
          <w:p w:rsidR="009E1A4F" w:rsidRDefault="00517631">
            <w:pPr>
              <w:widowControl/>
              <w:autoSpaceDE w:val="0"/>
              <w:autoSpaceDN w:val="0"/>
              <w:snapToGrid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1" w:type="dxa"/>
          </w:tcPr>
          <w:p w:rsidR="00142D37" w:rsidRPr="00142D37" w:rsidRDefault="00142D37" w:rsidP="00142D37">
            <w:pPr>
              <w:tabs>
                <w:tab w:val="num" w:pos="0"/>
              </w:tabs>
              <w:spacing w:before="0" w:line="240" w:lineRule="auto"/>
              <w:rPr>
                <w:sz w:val="18"/>
                <w:szCs w:val="18"/>
              </w:rPr>
            </w:pPr>
            <w:r w:rsidRPr="00142D37">
              <w:rPr>
                <w:sz w:val="18"/>
                <w:szCs w:val="18"/>
              </w:rPr>
              <w:t>ГСМ принимаются по фактическим замерам в резервуарах «Исполнителя». Замеры нефтепродуктов проводятся согласно ГОСТам, действующим на территории Российской Федерации.</w:t>
            </w:r>
          </w:p>
          <w:p w:rsidR="009E1A4F" w:rsidRDefault="00142D37" w:rsidP="00142D37">
            <w:pPr>
              <w:widowControl/>
              <w:autoSpaceDE w:val="0"/>
              <w:autoSpaceDN w:val="0"/>
              <w:snapToGrid/>
              <w:spacing w:before="0" w:line="240" w:lineRule="auto"/>
              <w:jc w:val="left"/>
              <w:rPr>
                <w:sz w:val="18"/>
                <w:szCs w:val="18"/>
              </w:rPr>
            </w:pPr>
            <w:r w:rsidRPr="00142D37">
              <w:rPr>
                <w:sz w:val="18"/>
                <w:szCs w:val="18"/>
              </w:rPr>
              <w:t>Отбор проб Нефтепродуктов, приемо-сдаточный контроль качества и определение количества Нефтепродуктов производятся при</w:t>
            </w:r>
            <w:r>
              <w:rPr>
                <w:sz w:val="18"/>
                <w:szCs w:val="18"/>
              </w:rPr>
              <w:t xml:space="preserve"> участии независимого сюрвейера</w:t>
            </w:r>
            <w:r w:rsidRPr="00142D37">
              <w:rPr>
                <w:sz w:val="18"/>
                <w:szCs w:val="18"/>
              </w:rPr>
              <w:t>.</w:t>
            </w:r>
          </w:p>
        </w:tc>
        <w:tc>
          <w:tcPr>
            <w:tcW w:w="1799" w:type="dxa"/>
          </w:tcPr>
          <w:p w:rsidR="009E1A4F" w:rsidRDefault="00517631">
            <w:pPr>
              <w:widowControl/>
              <w:autoSpaceDE w:val="0"/>
              <w:autoSpaceDN w:val="0"/>
              <w:snapToGrid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1" w:type="dxa"/>
          </w:tcPr>
          <w:p w:rsidR="009E1A4F" w:rsidRDefault="00517631">
            <w:pPr>
              <w:widowControl/>
              <w:autoSpaceDE w:val="0"/>
              <w:autoSpaceDN w:val="0"/>
              <w:snapToGrid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E1A4F" w:rsidRDefault="009E1A4F">
      <w:pPr>
        <w:widowControl/>
        <w:autoSpaceDE w:val="0"/>
        <w:autoSpaceDN w:val="0"/>
        <w:snapToGrid/>
        <w:spacing w:before="180" w:line="240" w:lineRule="auto"/>
        <w:rPr>
          <w:sz w:val="18"/>
          <w:szCs w:val="18"/>
        </w:rPr>
      </w:pPr>
      <w:r>
        <w:rPr>
          <w:sz w:val="18"/>
          <w:szCs w:val="18"/>
        </w:rPr>
        <w:t>Примечания:</w:t>
      </w:r>
    </w:p>
    <w:p w:rsidR="009E1A4F" w:rsidRDefault="009E1A4F">
      <w:pPr>
        <w:widowControl/>
        <w:tabs>
          <w:tab w:val="left" w:pos="567"/>
        </w:tabs>
        <w:autoSpaceDE w:val="0"/>
        <w:autoSpaceDN w:val="0"/>
        <w:snapToGrid/>
        <w:spacing w:before="0" w:line="240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>В графе 2 работы (услуги) указываются в соответствии с перечнем работ (услуг) субъектов естественных монополий в морских портах, цены (тарифы, сборы) на которые регулируются государством, утвержденным Постановлением Правительства Российской Федерации от 23.04.2008 № 293 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 17, ст. 1887).</w:t>
      </w:r>
    </w:p>
    <w:p w:rsidR="009E1A4F" w:rsidRDefault="009E1A4F">
      <w:pPr>
        <w:widowControl/>
        <w:tabs>
          <w:tab w:val="left" w:pos="567"/>
        </w:tabs>
        <w:autoSpaceDE w:val="0"/>
        <w:autoSpaceDN w:val="0"/>
        <w:snapToGrid/>
        <w:spacing w:before="0" w:line="240" w:lineRule="auto"/>
        <w:ind w:left="567"/>
        <w:rPr>
          <w:sz w:val="18"/>
          <w:szCs w:val="18"/>
        </w:rPr>
      </w:pPr>
      <w:r>
        <w:rPr>
          <w:sz w:val="18"/>
          <w:szCs w:val="18"/>
        </w:rPr>
        <w:t>Информация раскрывается отдельно по каждому виду указанных работ (услуг), независимо от того произведены они для собственных нужд, либо реализуются сторонним организациям.</w:t>
      </w:r>
    </w:p>
    <w:p w:rsidR="009E1A4F" w:rsidRDefault="009E1A4F">
      <w:pPr>
        <w:widowControl/>
        <w:tabs>
          <w:tab w:val="left" w:pos="567"/>
        </w:tabs>
        <w:autoSpaceDE w:val="0"/>
        <w:autoSpaceDN w:val="0"/>
        <w:snapToGrid/>
        <w:spacing w:before="0" w:line="240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 w:rsidR="009E1A4F" w:rsidRDefault="009E1A4F">
      <w:pPr>
        <w:widowControl/>
        <w:tabs>
          <w:tab w:val="left" w:pos="567"/>
        </w:tabs>
        <w:autoSpaceDE w:val="0"/>
        <w:autoSpaceDN w:val="0"/>
        <w:snapToGrid/>
        <w:spacing w:before="0" w:line="240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В графе 3 указываются реквизиты (№ и дата), источники опубликования нормативно-правового акта, распорядительного акта, договора, в котором указываются (зафиксированы) условия выполнения регулируемых работ (услуг).</w:t>
      </w:r>
    </w:p>
    <w:p w:rsidR="009E1A4F" w:rsidRDefault="009E1A4F">
      <w:pPr>
        <w:widowControl/>
        <w:tabs>
          <w:tab w:val="left" w:pos="567"/>
        </w:tabs>
        <w:autoSpaceDE w:val="0"/>
        <w:autoSpaceDN w:val="0"/>
        <w:snapToGrid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>В графе 4 указываются “типовые” условия выполнения (оказания) регулируемых работ (услуг).</w:t>
      </w:r>
    </w:p>
    <w:p w:rsidR="009E1A4F" w:rsidRDefault="009E1A4F">
      <w:pPr>
        <w:widowControl/>
        <w:tabs>
          <w:tab w:val="left" w:pos="567"/>
        </w:tabs>
        <w:autoSpaceDE w:val="0"/>
        <w:autoSpaceDN w:val="0"/>
        <w:snapToGrid/>
        <w:spacing w:before="0" w:line="240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  <w:t>В графе 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регулируемым работам (услугам) при соответствующих условиях в морских портах.</w:t>
      </w:r>
    </w:p>
    <w:p w:rsidR="009E1A4F" w:rsidRDefault="009E1A4F">
      <w:pPr>
        <w:widowControl/>
        <w:tabs>
          <w:tab w:val="left" w:pos="567"/>
        </w:tabs>
        <w:autoSpaceDE w:val="0"/>
        <w:autoSpaceDN w:val="0"/>
        <w:snapToGrid/>
        <w:spacing w:before="0" w:line="240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>6.</w:t>
      </w:r>
      <w:r>
        <w:rPr>
          <w:sz w:val="18"/>
          <w:szCs w:val="18"/>
        </w:rPr>
        <w:tab/>
        <w:t>В графе 6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порядок выполнения</w:t>
      </w:r>
      <w:r w:rsidRPr="00517631">
        <w:rPr>
          <w:sz w:val="18"/>
          <w:szCs w:val="18"/>
        </w:rPr>
        <w:t xml:space="preserve"> </w:t>
      </w:r>
      <w:r>
        <w:rPr>
          <w:sz w:val="18"/>
          <w:szCs w:val="18"/>
        </w:rPr>
        <w:t>(оказания) регулируемых работ (услуг) в морских портах, государственные и иные стандарты (при наличии).</w:t>
      </w:r>
    </w:p>
    <w:sectPr w:rsidR="009E1A4F">
      <w:headerReference w:type="default" r:id="rId7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50" w:rsidRDefault="00750D50">
      <w:pPr>
        <w:widowControl/>
        <w:autoSpaceDE w:val="0"/>
        <w:autoSpaceDN w:val="0"/>
        <w:snapToGrid/>
        <w:spacing w:before="0" w:line="240" w:lineRule="auto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750D50" w:rsidRDefault="00750D50">
      <w:pPr>
        <w:widowControl/>
        <w:autoSpaceDE w:val="0"/>
        <w:autoSpaceDN w:val="0"/>
        <w:snapToGrid/>
        <w:spacing w:before="0" w:line="240" w:lineRule="auto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50" w:rsidRDefault="00750D50">
      <w:pPr>
        <w:widowControl/>
        <w:autoSpaceDE w:val="0"/>
        <w:autoSpaceDN w:val="0"/>
        <w:snapToGrid/>
        <w:spacing w:before="0" w:line="240" w:lineRule="auto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750D50" w:rsidRDefault="00750D50">
      <w:pPr>
        <w:widowControl/>
        <w:autoSpaceDE w:val="0"/>
        <w:autoSpaceDN w:val="0"/>
        <w:snapToGrid/>
        <w:spacing w:before="0" w:line="240" w:lineRule="auto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4F" w:rsidRDefault="009E1A4F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9F"/>
    <w:rsid w:val="000F2473"/>
    <w:rsid w:val="00142D37"/>
    <w:rsid w:val="001D3581"/>
    <w:rsid w:val="001F3152"/>
    <w:rsid w:val="003256B7"/>
    <w:rsid w:val="00392F47"/>
    <w:rsid w:val="003D7146"/>
    <w:rsid w:val="004E5631"/>
    <w:rsid w:val="00517631"/>
    <w:rsid w:val="00557878"/>
    <w:rsid w:val="006E156D"/>
    <w:rsid w:val="00750D50"/>
    <w:rsid w:val="007A049F"/>
    <w:rsid w:val="009E1A4F"/>
    <w:rsid w:val="00A57593"/>
    <w:rsid w:val="00C1767E"/>
    <w:rsid w:val="00F0363F"/>
    <w:rsid w:val="00F73DD7"/>
    <w:rsid w:val="00F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D37"/>
    <w:pPr>
      <w:widowControl w:val="0"/>
      <w:snapToGrid w:val="0"/>
      <w:spacing w:before="120" w:after="0" w:line="300" w:lineRule="auto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autoSpaceDE w:val="0"/>
      <w:autoSpaceDN w:val="0"/>
      <w:snapToGrid/>
      <w:spacing w:before="0" w:line="240" w:lineRule="auto"/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autoSpaceDE w:val="0"/>
      <w:autoSpaceDN w:val="0"/>
      <w:snapToGrid/>
      <w:spacing w:before="0" w:line="240" w:lineRule="auto"/>
      <w:jc w:val="left"/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D37"/>
    <w:pPr>
      <w:widowControl w:val="0"/>
      <w:snapToGrid w:val="0"/>
      <w:spacing w:before="120" w:after="0" w:line="300" w:lineRule="auto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autoSpaceDE w:val="0"/>
      <w:autoSpaceDN w:val="0"/>
      <w:snapToGrid/>
      <w:spacing w:before="0" w:line="240" w:lineRule="auto"/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autoSpaceDE w:val="0"/>
      <w:autoSpaceDN w:val="0"/>
      <w:snapToGrid/>
      <w:spacing w:before="0" w:line="240" w:lineRule="auto"/>
      <w:jc w:val="left"/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Мягкова</cp:lastModifiedBy>
  <cp:revision>2</cp:revision>
  <cp:lastPrinted>2011-06-16T11:23:00Z</cp:lastPrinted>
  <dcterms:created xsi:type="dcterms:W3CDTF">2019-03-01T07:57:00Z</dcterms:created>
  <dcterms:modified xsi:type="dcterms:W3CDTF">2019-03-01T07:57:00Z</dcterms:modified>
</cp:coreProperties>
</file>